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right"/>
        <w:rPr>
          <w:rFonts w:ascii="黑体" w:hAnsi="黑体" w:eastAsia="黑体" w:cs="宋体"/>
          <w:sz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“2021年全国职业院校技能大赛”高职组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网络系统管理赛项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模块C：竞赛样题(样题8)</w:t>
      </w: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/>
        </w:rPr>
      </w:sdtEndPr>
      <w:sdtContent>
        <w:p>
          <w:pPr>
            <w:pStyle w:val="24"/>
            <w:spacing w:before="0" w:line="360" w:lineRule="auto"/>
            <w:jc w:val="center"/>
          </w:pPr>
          <w:r>
            <w:rPr>
              <w:color w:val="auto"/>
              <w:lang w:val="zh-CN"/>
            </w:rPr>
            <w:t>目录</w:t>
          </w:r>
        </w:p>
        <w:p>
          <w:pPr>
            <w:pStyle w:val="9"/>
            <w:tabs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"_Toc67121092" </w:instrText>
          </w:r>
          <w:r>
            <w:fldChar w:fldCharType="separate"/>
          </w:r>
          <w:r>
            <w:rPr>
              <w:rStyle w:val="15"/>
              <w:rFonts w:hint="eastAsia" w:ascii="宋体" w:hAnsi="宋体" w:eastAsia="宋体" w:cs="宋体"/>
            </w:rPr>
            <w:t>考试说明</w:t>
          </w:r>
          <w:r>
            <w:tab/>
          </w:r>
          <w:r>
            <w:fldChar w:fldCharType="begin"/>
          </w:r>
          <w:r>
            <w:instrText xml:space="preserve"> PAGEREF _Toc67121092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"_Toc67121093" </w:instrText>
          </w:r>
          <w:r>
            <w:fldChar w:fldCharType="separate"/>
          </w:r>
          <w:r>
            <w:rPr>
              <w:rStyle w:val="15"/>
              <w:rFonts w:hint="eastAsia" w:ascii="宋体" w:hAnsi="宋体" w:eastAsia="宋体" w:cs="宋体"/>
            </w:rPr>
            <w:t>任务描述</w:t>
          </w:r>
          <w:r>
            <w:tab/>
          </w:r>
          <w:r>
            <w:fldChar w:fldCharType="begin"/>
          </w:r>
          <w:r>
            <w:instrText xml:space="preserve"> PAGEREF _Toc67121093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"_Toc67121094" </w:instrText>
          </w:r>
          <w:r>
            <w:fldChar w:fldCharType="separate"/>
          </w:r>
          <w:r>
            <w:rPr>
              <w:rStyle w:val="15"/>
              <w:rFonts w:hint="eastAsia" w:ascii="宋体" w:hAnsi="宋体" w:eastAsia="宋体" w:cs="宋体"/>
            </w:rPr>
            <w:t>任务清单</w:t>
          </w:r>
          <w:r>
            <w:tab/>
          </w:r>
          <w:r>
            <w:fldChar w:fldCharType="begin"/>
          </w:r>
          <w:r>
            <w:instrText xml:space="preserve"> PAGEREF _Toc67121094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"_Toc67121095" </w:instrText>
          </w:r>
          <w:r>
            <w:fldChar w:fldCharType="separate"/>
          </w:r>
          <w:r>
            <w:rPr>
              <w:rStyle w:val="15"/>
              <w:rFonts w:hint="eastAsia" w:ascii="宋体" w:hAnsi="宋体" w:eastAsia="宋体" w:cs="宋体"/>
            </w:rPr>
            <w:t>（一）基础配置</w:t>
          </w:r>
          <w:r>
            <w:tab/>
          </w:r>
          <w:r>
            <w:fldChar w:fldCharType="begin"/>
          </w:r>
          <w:r>
            <w:instrText xml:space="preserve"> PAGEREF _Toc67121095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"_Toc67121096" </w:instrText>
          </w:r>
          <w:r>
            <w:fldChar w:fldCharType="separate"/>
          </w:r>
          <w:r>
            <w:rPr>
              <w:rStyle w:val="15"/>
              <w:rFonts w:hint="eastAsia" w:ascii="宋体" w:hAnsi="宋体" w:eastAsia="宋体" w:cs="宋体"/>
            </w:rPr>
            <w:t>（二）有线网络配置</w:t>
          </w:r>
          <w:r>
            <w:tab/>
          </w:r>
          <w:r>
            <w:fldChar w:fldCharType="begin"/>
          </w:r>
          <w:r>
            <w:instrText xml:space="preserve"> PAGEREF _Toc67121096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"_Toc67121097" </w:instrText>
          </w:r>
          <w:r>
            <w:fldChar w:fldCharType="separate"/>
          </w:r>
          <w:r>
            <w:rPr>
              <w:rStyle w:val="15"/>
              <w:rFonts w:hint="eastAsia" w:ascii="宋体" w:hAnsi="宋体" w:eastAsia="宋体" w:cs="宋体"/>
            </w:rPr>
            <w:t>（三）无线网络配置</w:t>
          </w:r>
          <w:r>
            <w:tab/>
          </w:r>
          <w:r>
            <w:fldChar w:fldCharType="begin"/>
          </w:r>
          <w:r>
            <w:instrText xml:space="preserve"> PAGEREF _Toc67121097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"_Toc67121098" </w:instrText>
          </w:r>
          <w:r>
            <w:fldChar w:fldCharType="separate"/>
          </w:r>
          <w:r>
            <w:rPr>
              <w:rStyle w:val="15"/>
              <w:rFonts w:hint="eastAsia" w:ascii="宋体" w:hAnsi="宋体" w:eastAsia="宋体" w:cs="宋体"/>
            </w:rPr>
            <w:t>（四）出口网络配置</w:t>
          </w:r>
          <w:r>
            <w:tab/>
          </w:r>
          <w:r>
            <w:fldChar w:fldCharType="begin"/>
          </w:r>
          <w:r>
            <w:instrText xml:space="preserve"> PAGEREF _Toc67121098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"_Toc67121099" </w:instrText>
          </w:r>
          <w:r>
            <w:fldChar w:fldCharType="separate"/>
          </w:r>
          <w:r>
            <w:rPr>
              <w:rStyle w:val="15"/>
              <w:rFonts w:hint="eastAsia" w:ascii="宋体" w:hAnsi="宋体" w:eastAsia="宋体" w:cs="宋体"/>
            </w:rPr>
            <w:t>附录</w:t>
          </w:r>
          <w:r>
            <w:rPr>
              <w:rStyle w:val="15"/>
              <w:rFonts w:ascii="宋体" w:hAnsi="宋体" w:eastAsia="宋体" w:cs="宋体"/>
            </w:rPr>
            <w:t>1</w:t>
          </w:r>
          <w:r>
            <w:rPr>
              <w:rStyle w:val="15"/>
              <w:rFonts w:hint="eastAsia" w:ascii="宋体" w:hAnsi="宋体" w:eastAsia="宋体" w:cs="宋体"/>
            </w:rPr>
            <w:t>：拓扑图</w:t>
          </w:r>
          <w:r>
            <w:tab/>
          </w:r>
          <w:r>
            <w:fldChar w:fldCharType="begin"/>
          </w:r>
          <w:r>
            <w:instrText xml:space="preserve"> PAGEREF _Toc67121099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"_Toc67121100" </w:instrText>
          </w:r>
          <w:r>
            <w:fldChar w:fldCharType="separate"/>
          </w:r>
          <w:r>
            <w:rPr>
              <w:rStyle w:val="15"/>
              <w:rFonts w:hint="eastAsia" w:ascii="宋体" w:hAnsi="宋体" w:eastAsia="宋体" w:cs="宋体"/>
            </w:rPr>
            <w:t>附录</w:t>
          </w:r>
          <w:r>
            <w:rPr>
              <w:rStyle w:val="15"/>
              <w:rFonts w:ascii="宋体" w:hAnsi="宋体" w:eastAsia="宋体" w:cs="宋体"/>
            </w:rPr>
            <w:t>2</w:t>
          </w:r>
          <w:r>
            <w:rPr>
              <w:rStyle w:val="15"/>
              <w:rFonts w:hint="eastAsia" w:ascii="宋体" w:hAnsi="宋体" w:eastAsia="宋体" w:cs="宋体"/>
            </w:rPr>
            <w:t>：地址规划表</w:t>
          </w:r>
          <w:r>
            <w:tab/>
          </w:r>
          <w:r>
            <w:fldChar w:fldCharType="begin"/>
          </w:r>
          <w:r>
            <w:instrText xml:space="preserve"> PAGEREF _Toc67121100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spacing w:after="0" w:line="360" w:lineRule="auto"/>
          </w:pPr>
          <w:r>
            <w:fldChar w:fldCharType="end"/>
          </w:r>
        </w:p>
      </w:sdtContent>
    </w:sdt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</w:pPr>
    </w:p>
    <w:p>
      <w:pPr>
        <w:spacing w:after="0" w:line="360" w:lineRule="auto"/>
        <w:rPr>
          <w:rFonts w:hint="eastAsia"/>
        </w:rPr>
      </w:pPr>
    </w:p>
    <w:p>
      <w:pPr>
        <w:spacing w:after="0" w:line="360" w:lineRule="auto"/>
        <w:rPr>
          <w:rFonts w:hint="eastAsia"/>
        </w:rPr>
      </w:pPr>
    </w:p>
    <w:p>
      <w:pPr>
        <w:spacing w:after="0" w:line="360" w:lineRule="auto"/>
        <w:rPr>
          <w:rFonts w:hint="eastAsia"/>
        </w:rPr>
      </w:pPr>
    </w:p>
    <w:p>
      <w:pPr>
        <w:pStyle w:val="2"/>
        <w:spacing w:before="0" w:after="0" w:line="360" w:lineRule="auto"/>
        <w:rPr>
          <w:rFonts w:ascii="宋体" w:hAnsi="宋体" w:eastAsia="宋体" w:cs="宋体"/>
          <w:color w:val="000000" w:themeColor="text1"/>
          <w:sz w:val="30"/>
          <w:szCs w:val="30"/>
        </w:rPr>
      </w:pPr>
      <w:bookmarkStart w:id="0" w:name="_Toc16073"/>
    </w:p>
    <w:p>
      <w:pPr>
        <w:pStyle w:val="2"/>
        <w:spacing w:before="0" w:after="0" w:line="360" w:lineRule="auto"/>
        <w:rPr>
          <w:rFonts w:ascii="宋体" w:hAnsi="宋体" w:eastAsia="宋体" w:cs="宋体"/>
          <w:bCs w:val="0"/>
          <w:color w:val="000000" w:themeColor="text1"/>
        </w:rPr>
      </w:pPr>
      <w:bookmarkStart w:id="1" w:name="_Toc67121092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考试说明</w:t>
      </w:r>
      <w:bookmarkEnd w:id="0"/>
      <w:bookmarkEnd w:id="1"/>
    </w:p>
    <w:p>
      <w:pPr>
        <w:widowControl w:val="0"/>
        <w:spacing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本模块比赛时间为4小时。请合理分配竞赛时间。请仔细阅读以下要求。</w:t>
      </w:r>
    </w:p>
    <w:p>
      <w:pPr>
        <w:widowControl w:val="0"/>
        <w:spacing w:before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 竞赛所需的硬件、软件和辅助工具由组委会统一布置，选手不得私自携带任何软件、移动存储、辅助工具、移动通信等进入赛场。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 操作过程中，需要及时保存配置。比赛结束后，所有设备、计算机保持运行状态，不要拆动硬件连接。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 比赛完成后，比赛设备、软件和赛题请保留在座位上，禁止将比赛所用的所有物品（包括试卷和草纸）带离赛场。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4.严格按照“网络构建答题卡.docx”文档格式要求，制作输出竞赛结果文件。同时，另存一份“PDF格式文档”。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5.在每台设备上使用show running-config命令，将该命令下显示的结果，分别保存为独立的“*.txt”文件中。其中，文件名要以设备的编号命名。并把所有的“*.txt”文件，集中存放在新建的“设备配置”文件夹下。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6.考生所提交的文件是竞赛结果的唯一依据，请考生一定确保文件确实有效，能够正常读取。如有疑问，可咨询现场工作人员。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 w:val="0"/>
          <w:color w:val="000000" w:themeColor="text1"/>
        </w:rPr>
      </w:pPr>
      <w:bookmarkStart w:id="2" w:name="_Toc67121093"/>
      <w:bookmarkStart w:id="3" w:name="_Toc1598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任务描述</w:t>
      </w:r>
      <w:bookmarkEnd w:id="2"/>
      <w:bookmarkEnd w:id="3"/>
    </w:p>
    <w:p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为了顺利实施陕西招财银行全省营业网点的网络改造，优化省行的网络，为其它区域的网络提供高效的保障服务，陕西招财银行同时针对各个分支行、网点的网络进行升级、改造和优化。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 w:val="0"/>
          <w:color w:val="000000" w:themeColor="text1"/>
        </w:rPr>
      </w:pPr>
      <w:bookmarkStart w:id="4" w:name="_Toc19126"/>
      <w:bookmarkStart w:id="5" w:name="_Toc7327"/>
      <w:bookmarkStart w:id="6" w:name="_Toc17297"/>
      <w:bookmarkStart w:id="7" w:name="_Toc67121094"/>
      <w:bookmarkStart w:id="8" w:name="_Toc24631"/>
      <w:bookmarkStart w:id="9" w:name="_Toc17617"/>
      <w:bookmarkStart w:id="10" w:name="_Toc7703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任务清单</w:t>
      </w:r>
      <w:bookmarkEnd w:id="4"/>
      <w:bookmarkEnd w:id="5"/>
      <w:bookmarkEnd w:id="6"/>
      <w:bookmarkEnd w:id="7"/>
      <w:bookmarkEnd w:id="8"/>
      <w:bookmarkEnd w:id="9"/>
    </w:p>
    <w:bookmarkEnd w:id="10"/>
    <w:p>
      <w:pPr>
        <w:pStyle w:val="2"/>
        <w:spacing w:after="120"/>
        <w:rPr>
          <w:rFonts w:ascii="宋体" w:hAnsi="宋体" w:eastAsia="宋体" w:cs="宋体"/>
          <w:bCs w:val="0"/>
          <w:color w:val="000000" w:themeColor="text1"/>
          <w:sz w:val="28"/>
          <w:szCs w:val="28"/>
        </w:rPr>
      </w:pPr>
      <w:bookmarkStart w:id="11" w:name="_Toc67121095"/>
      <w:bookmarkStart w:id="12" w:name="_Toc12140"/>
      <w:bookmarkStart w:id="13" w:name="_Toc32369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（一）基础配置</w:t>
      </w:r>
      <w:bookmarkEnd w:id="11"/>
      <w:bookmarkEnd w:id="12"/>
      <w:bookmarkEnd w:id="13"/>
    </w:p>
    <w:p>
      <w:pPr>
        <w:pStyle w:val="23"/>
        <w:widowControl w:val="0"/>
        <w:numPr>
          <w:ilvl w:val="0"/>
          <w:numId w:val="3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根据附录1拓扑图及附录2地址规划表，配置设备接口信息。</w:t>
      </w:r>
    </w:p>
    <w:p>
      <w:pPr>
        <w:pStyle w:val="23"/>
        <w:widowControl w:val="0"/>
        <w:numPr>
          <w:ilvl w:val="0"/>
          <w:numId w:val="3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交换机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S7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做密码恢复，新密码设置为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admin1234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3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交换机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S7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进行版本更新至指定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版本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指定版本见现场升级文件包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3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在所有的网络设备上开启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SSH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服务，用户名密码分别为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admin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admin1234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。特权密码为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admin1234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3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为在每台设备上部署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SNMP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功能，主机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172.16.0.254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发送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Trap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消息版本采用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V2C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。读写的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Community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为“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admin”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。只读的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Community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为“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public”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。开启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Trap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消息通告。</w:t>
      </w:r>
    </w:p>
    <w:p>
      <w:pPr>
        <w:pStyle w:val="2"/>
        <w:spacing w:after="120"/>
        <w:rPr>
          <w:rFonts w:ascii="宋体" w:hAnsi="宋体" w:eastAsia="宋体" w:cs="宋体"/>
          <w:bCs w:val="0"/>
          <w:color w:val="000000" w:themeColor="text1"/>
          <w:sz w:val="28"/>
          <w:szCs w:val="28"/>
        </w:rPr>
      </w:pPr>
      <w:bookmarkStart w:id="14" w:name="_Toc17749"/>
      <w:bookmarkStart w:id="15" w:name="_Toc11128"/>
      <w:bookmarkStart w:id="16" w:name="_Toc67121096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（二）有线网络配置</w:t>
      </w:r>
      <w:bookmarkEnd w:id="14"/>
      <w:bookmarkEnd w:id="15"/>
      <w:bookmarkEnd w:id="16"/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在全网Trunk链路上做VLAN修剪。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S6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Gi0/6-Gi0/20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端口上，启用端口保护功能。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在连接PC机端口上开启Portfast和BPDUguard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防护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功能。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接入交换机的连接终端的接口上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检测到环路后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，要求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处理的方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式为S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hutdown-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P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ort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实现防环保护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一旦端口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检测异常事件并进入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Err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-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isabled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状态，设置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300秒自动恢复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机制（基于接口部署策略）。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在交换机S3、S4上配置DHCP中继功能，使得网络中的终端用户通过DHCP Relay方式获取IP地址。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在S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上搭建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DHCP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服务器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,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为网络中的无线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AP设备提供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管理地址（具体参数见IPv4地址分配表，共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个网段：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192.1.10.0/24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192.1.50.0/24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192.1.60.0/24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）。无线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的地址租约为永久。无线网络中用户设备的租约为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0.5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天。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S6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交换机上部署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DHCP 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“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Snooping+DAI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”功能。其中，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DAI安全功能主要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针对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VLAN10中用户设备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启用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ARP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防御。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在交换机S3、S4、S5、S6上配置MSTP防止二层环路。MSTP参数要求：region-name为test。revision版本为1。实例1包含VLAN10，VLAN100。实例2包含VLAN50,VLAN60。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配置S3交换机作为实例1的主根、实例2的从根。配置S4交换机作为实例2的主根、实例1的从根。其中，主根的优先级为4096。从根的优先级为8192。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S3和S4上配置VRRP，所配置的参数要求如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所示。，在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交换机S3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、S4上设置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各VRRP组中的高优先级设置为150，低优先级设置为120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在S3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S4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之间部署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条互联链路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（Gi0/21、Gi0/22），并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采取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L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ACP动态聚合模式配置二层链路聚合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。其它接口根据网络设备互联需要，进行静态链路聚合配置，生成聚合接口AG2。</w:t>
      </w:r>
    </w:p>
    <w:p>
      <w:pPr>
        <w:spacing w:after="0" w:line="360" w:lineRule="auto"/>
        <w:ind w:firstLine="480" w:firstLineChars="20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 xml:space="preserve">  S3和S4的VRRP参数表</w:t>
      </w:r>
    </w:p>
    <w:tbl>
      <w:tblPr>
        <w:tblStyle w:val="13"/>
        <w:tblW w:w="76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198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spacing w:line="360" w:lineRule="auto"/>
            </w:pPr>
            <w:r>
              <w:t>VLAN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</w:pPr>
            <w:r>
              <w:t>VRRP备份组</w:t>
            </w:r>
            <w:r>
              <w:rPr>
                <w:rFonts w:hint="eastAsia"/>
              </w:rPr>
              <w:t>号（</w:t>
            </w:r>
            <w:r>
              <w:t>VRID）</w:t>
            </w:r>
          </w:p>
        </w:tc>
        <w:tc>
          <w:tcPr>
            <w:tcW w:w="1986" w:type="dxa"/>
            <w:vAlign w:val="center"/>
          </w:tcPr>
          <w:p>
            <w:pPr>
              <w:spacing w:line="360" w:lineRule="auto"/>
            </w:pPr>
            <w:r>
              <w:t>VRRP虚拟IP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VLAN10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t>10</w:t>
            </w:r>
          </w:p>
        </w:tc>
        <w:tc>
          <w:tcPr>
            <w:tcW w:w="1986" w:type="dxa"/>
          </w:tcPr>
          <w:p>
            <w:pPr>
              <w:spacing w:line="360" w:lineRule="auto"/>
            </w:pPr>
            <w:r>
              <w:t>192.</w:t>
            </w:r>
            <w:r>
              <w:rPr>
                <w:rFonts w:hint="eastAsia"/>
              </w:rPr>
              <w:t>1</w:t>
            </w:r>
            <w:r>
              <w:t>.10.254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VLAN</w:t>
            </w:r>
            <w:r>
              <w:rPr>
                <w:rFonts w:hint="eastAsia"/>
              </w:rPr>
              <w:t>50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50</w:t>
            </w:r>
          </w:p>
        </w:tc>
        <w:tc>
          <w:tcPr>
            <w:tcW w:w="1986" w:type="dxa"/>
          </w:tcPr>
          <w:p>
            <w:pPr>
              <w:spacing w:line="360" w:lineRule="auto"/>
            </w:pPr>
            <w:r>
              <w:t>192.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t>0.254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VLAN</w:t>
            </w:r>
            <w:r>
              <w:rPr>
                <w:rFonts w:hint="eastAsia"/>
              </w:rPr>
              <w:t>60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60</w:t>
            </w:r>
          </w:p>
        </w:tc>
        <w:tc>
          <w:tcPr>
            <w:tcW w:w="1986" w:type="dxa"/>
          </w:tcPr>
          <w:p>
            <w:pPr>
              <w:spacing w:line="360" w:lineRule="auto"/>
            </w:pPr>
            <w:r>
              <w:t>192.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6</w:t>
            </w:r>
            <w:r>
              <w:t>0.254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VLAN100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t>100</w:t>
            </w:r>
          </w:p>
        </w:tc>
        <w:tc>
          <w:tcPr>
            <w:tcW w:w="1986" w:type="dxa"/>
          </w:tcPr>
          <w:p>
            <w:pPr>
              <w:spacing w:line="360" w:lineRule="auto"/>
            </w:pPr>
            <w:r>
              <w:t>192.</w:t>
            </w:r>
            <w:r>
              <w:rPr>
                <w:rFonts w:hint="eastAsia"/>
              </w:rPr>
              <w:t>1</w:t>
            </w:r>
            <w:r>
              <w:t>.100.254</w:t>
            </w:r>
          </w:p>
        </w:tc>
      </w:tr>
    </w:tbl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部署交换机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S6之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间的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Te0/27-28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端口作为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VSL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链路，其中：设置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S5交换机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为主交换机。设置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S6交换机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为备用交换机。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规划交换机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S6之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间的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Gi0/22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端口作为双主机检测链路，配置基于双主机检测。当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VSL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链路中的所有物理链路都异常断开时，备用交换机会切换成主机，从而保障网络正常运营。主交换机：：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Domain id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：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。S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witch id:1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;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priority 150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;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 xml:space="preserve"> description:Access-Switch-Virtual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-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Switch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1。备交换机设：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Domain id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：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。S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witch id:2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priority 120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description:Access-Switch-Virtual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-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Switch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在省行的核心区与业务区（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）中，部署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OSPF 100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。使用单区域（区域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）部署。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在省行的互联区和各支行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/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网点（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R1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R2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S7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）连接上，部署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OSPF 200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使用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多区域规划。其中，省行互联区（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R1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R2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）属于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AREA 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。龙首原支行（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R1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R2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S7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）属于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AREA 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在省行业务区，要求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VLAN100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设备管理地址段不参与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OSPF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邻居建立。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在省行的业务区，要在交换机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S4的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始发终端网段以及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VLAN100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设备管理地址段，均以重发布直连的方式注入路由。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优化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OSPF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相关配置，以尽量加快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OSPF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收敛。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重发布路由进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OSPF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中使用类型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在AC1和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AC2之间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通过静态路由，使用管理地址（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100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）分别与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交换机之间通信。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使用静态路由实现省行的外联区之间（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EG1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）通信。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使用静态路由第三方公司（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EG2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）之间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通信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使用静态路由Internet区域（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EG1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R3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EG2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）之间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通信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原生产网段（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410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）、办公网段（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460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）需要与省行的业务区、生产办公区的业务互联互通，需要在交换机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S7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本地以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Network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发布明细路由。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各路由图以及连接的各接口中，凡是涉及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COST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值的调整，要求其值必须调整为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或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通过部署策略，使得生产网段的业务（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410-VLAN 10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）的主路径为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S7-R1-S1-S3-</w:t>
      </w:r>
      <w:bookmarkStart w:id="34" w:name="_GoBack"/>
      <w:bookmarkEnd w:id="34"/>
      <w:r>
        <w:rPr>
          <w:rFonts w:ascii="宋体" w:hAnsi="宋体" w:eastAsia="宋体" w:cs="宋体"/>
          <w:color w:val="000000" w:themeColor="text1"/>
          <w:sz w:val="24"/>
          <w:szCs w:val="24"/>
        </w:rPr>
        <w:t>VSU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。办公网段的业务（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460-VLAN 60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）的主路径为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S7-R2-S2-S4-VSU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。并且要求来回路径一致。</w:t>
      </w:r>
    </w:p>
    <w:p>
      <w:pPr>
        <w:pStyle w:val="23"/>
        <w:widowControl w:val="0"/>
        <w:numPr>
          <w:ilvl w:val="0"/>
          <w:numId w:val="4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配置省区业务区中的办公数据（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60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）访问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Internet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的路径为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S4-S2-EG1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。配置各支行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/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网点中的办公数据（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460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）访问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Internet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的路径为：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S7-R2-S2-EG1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。并且要求来回路径一致。</w:t>
      </w:r>
    </w:p>
    <w:p>
      <w:pPr>
        <w:pStyle w:val="2"/>
        <w:spacing w:after="120"/>
        <w:rPr>
          <w:rFonts w:ascii="宋体" w:hAnsi="宋体" w:eastAsia="宋体" w:cs="宋体"/>
          <w:bCs w:val="0"/>
          <w:color w:val="000000" w:themeColor="text1"/>
          <w:sz w:val="28"/>
          <w:szCs w:val="28"/>
        </w:rPr>
      </w:pPr>
      <w:bookmarkStart w:id="17" w:name="_Toc31830"/>
      <w:bookmarkStart w:id="18" w:name="_Toc19222"/>
      <w:bookmarkStart w:id="19" w:name="_Toc29400"/>
      <w:bookmarkStart w:id="20" w:name="_Toc10459"/>
      <w:bookmarkStart w:id="21" w:name="_Toc67121097"/>
      <w:bookmarkStart w:id="22" w:name="_Toc11979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（三）无线</w:t>
      </w:r>
      <w:bookmarkEnd w:id="17"/>
      <w:bookmarkEnd w:id="18"/>
      <w:bookmarkEnd w:id="19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网络配置</w:t>
      </w:r>
      <w:bookmarkEnd w:id="20"/>
      <w:bookmarkEnd w:id="21"/>
      <w:bookmarkEnd w:id="22"/>
    </w:p>
    <w:p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陕西招财银行的某局点银行实施无线覆盖工程，项目拟投入17.5万元（网络设备采购部分），项目要求办公区、办公室、会议厅、寝室、展厅均覆盖（不要求覆盖茶水间、洗手间）。</w:t>
      </w:r>
    </w:p>
    <w:p>
      <w:pPr>
        <w:spacing w:after="0" w:line="360" w:lineRule="auto"/>
        <w:jc w:val="center"/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/>
          <w:sz w:val="28"/>
          <w:szCs w:val="24"/>
        </w:rPr>
        <w:drawing>
          <wp:inline distT="0" distB="0" distL="0" distR="0">
            <wp:extent cx="4512945" cy="3450590"/>
            <wp:effectExtent l="19050" t="0" r="1766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r="3170" b="2038"/>
                    <a:stretch>
                      <a:fillRect/>
                    </a:stretch>
                  </pic:blipFill>
                  <pic:spPr>
                    <a:xfrm>
                      <a:off x="0" y="0"/>
                      <a:ext cx="4521776" cy="3457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firstLine="480" w:firstLineChars="200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图2 平面布局图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1.绘制AP点位图（包括：AP型号、编号、信道等信息，其中信道采用2.4G的1、6、11三个信道进行规划，洗手间、楼梯区域无须覆盖）。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2.使用无线地勘软件，输出AP点位图的2.4G频道的信号仿真热图（仿真信号强度要求大于-65db）。其中，</w:t>
      </w:r>
      <w:r>
        <w:rPr>
          <w:rFonts w:hint="eastAsia"/>
          <w:sz w:val="24"/>
          <w:szCs w:val="24"/>
        </w:rPr>
        <w:t>无线产品及配件价格表如表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所示。</w:t>
      </w:r>
    </w:p>
    <w:p>
      <w:pPr>
        <w:spacing w:line="240" w:lineRule="auto"/>
        <w:jc w:val="center"/>
        <w:textAlignment w:val="center"/>
        <w:rPr>
          <w:rFonts w:ascii="仿宋" w:hAnsi="仿宋" w:eastAsia="仿宋" w:cs="仿宋"/>
          <w:color w:val="000000" w:themeColor="text1"/>
          <w:sz w:val="21"/>
          <w:szCs w:val="21"/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</w:rPr>
        <w:t>表2无线产品价格表</w:t>
      </w:r>
    </w:p>
    <w:tbl>
      <w:tblPr>
        <w:tblStyle w:val="13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传输速率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50000</w:t>
            </w:r>
          </w:p>
        </w:tc>
      </w:tr>
    </w:tbl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在省行的业务区中部署无线网络，无线网络架构采用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FIT 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+AC的方案。区域内所有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）都关联到双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进行管理。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在省行的业务区中，配置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S1交换机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作为无线网络中用户（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60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）和无线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FIT 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50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DHCP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服务器。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在省行的业务区部署无线网络，设置内网中的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SSID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为Admin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_SHYWQ_XX(XX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现场提供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WLANID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AP-GROUP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为Admin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_SHYWQ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。内网中的无线用户在关联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SSID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后，可自动获取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VLAN60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地址。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龙首原支行无线网络架构采用FIT AP+AC的方案，区域内所有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）都关联到双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进行管理。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龙首原支行使用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S7交换机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作为无线网络中用户（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460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）和无线网络中的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FIT 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450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）设备的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DHCP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服务器。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在龙首原支行中配置内网的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SSID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为Admin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_LSYZH_XX(XX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现场提供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WLANID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AP-GROUP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为Admin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_LSYZH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。内网中的无线用户在关联到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SSID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后，可自动获取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VLAN460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地址。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在无线网络中部署AC冗余，实现备份。其中，配置AC1为主用。配置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为备用。此外，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与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AC2之间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均需要建立隧道，规划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Fit 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与双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VLAN100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设备管理地址建立隧道建立。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当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与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失去连接时，能无缝切换至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第三方公司的AP3使用胖模式进行部署，具体要求如下所示。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配置AP3设备，使用透明模式传输。其中，管理地址为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195.1.100.1/24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。网关地址为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195.1.100.254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网关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部署在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EG2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上。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在AP3设备上，创建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SSID(WLAN-ID 3)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为Admin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-Fat_XX(备注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：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XX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现场提供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，保障内网中无线网络中的用户在关联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SSID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后，可自动获取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 xml:space="preserve"> 195.1.60.0/24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网段地址（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DHCP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部署在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EG2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上）。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无线网络中的用户通过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Fit AP方式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接入无线网络时，采用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WPA2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加密方式，加密密码为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XX(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现场提供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无线网络中的用户通过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F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at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 xml:space="preserve"> AP方式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接入无线网络时，采用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WEB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认证方式，认证用户名、密码为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XX(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现场提供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3"/>
        <w:widowControl w:val="0"/>
        <w:numPr>
          <w:ilvl w:val="0"/>
          <w:numId w:val="5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省行业务区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）采用集中转发模式，各支行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/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网点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AP2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）采用本地转发模式。</w:t>
      </w:r>
    </w:p>
    <w:p>
      <w:pPr>
        <w:pStyle w:val="2"/>
        <w:spacing w:after="120"/>
        <w:rPr>
          <w:rFonts w:ascii="宋体" w:hAnsi="宋体" w:eastAsia="宋体" w:cs="宋体"/>
          <w:bCs w:val="0"/>
          <w:color w:val="000000" w:themeColor="text1"/>
          <w:sz w:val="28"/>
          <w:szCs w:val="28"/>
        </w:rPr>
      </w:pPr>
      <w:bookmarkStart w:id="23" w:name="_Toc20643"/>
      <w:bookmarkStart w:id="24" w:name="_Toc29432"/>
      <w:bookmarkStart w:id="25" w:name="_Toc16405"/>
      <w:bookmarkStart w:id="26" w:name="_Toc7296"/>
      <w:bookmarkStart w:id="27" w:name="_Toc2816"/>
      <w:bookmarkStart w:id="28" w:name="_Toc67121098"/>
      <w:bookmarkStart w:id="29" w:name="_Toc12489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（四）</w:t>
      </w:r>
      <w:bookmarkEnd w:id="23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出口网络</w:t>
      </w:r>
      <w:bookmarkEnd w:id="24"/>
      <w:bookmarkEnd w:id="25"/>
      <w:bookmarkEnd w:id="26"/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配置</w:t>
      </w:r>
      <w:bookmarkEnd w:id="27"/>
      <w:bookmarkEnd w:id="28"/>
      <w:bookmarkEnd w:id="29"/>
    </w:p>
    <w:p>
      <w:pPr>
        <w:pStyle w:val="23"/>
        <w:widowControl w:val="0"/>
        <w:numPr>
          <w:ilvl w:val="0"/>
          <w:numId w:val="6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省行外联区出口网关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EG1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上进行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NAT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配置，实现省行业务区办公网络（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60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460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），通过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NAPT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方式将内网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IP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地址转换到互联网接口上。其中，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NAT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地址池的地址为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200.1.1.3/29-200.1.1.5/29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。生产网络（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VLAN 10,VLAN 410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）及其他地址均不允许访问互联网。</w:t>
      </w:r>
    </w:p>
    <w:p>
      <w:pPr>
        <w:pStyle w:val="23"/>
        <w:widowControl w:val="0"/>
        <w:numPr>
          <w:ilvl w:val="0"/>
          <w:numId w:val="6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在第三方公司的出口网关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EG2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上，进行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NAT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部署，实现其无线网络中的用户能访问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Internet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。其中，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NAT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地址池与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EG2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Gi0/4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接口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IP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相同。</w:t>
      </w:r>
    </w:p>
    <w:p>
      <w:pPr>
        <w:pStyle w:val="23"/>
        <w:widowControl w:val="0"/>
        <w:numPr>
          <w:ilvl w:val="0"/>
          <w:numId w:val="6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在网络安全出口设备EG1与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EG2之间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，启用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GRE Over IPSec VPN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嵌套功能。</w:t>
      </w:r>
    </w:p>
    <w:p>
      <w:pPr>
        <w:pStyle w:val="23"/>
        <w:widowControl w:val="0"/>
        <w:numPr>
          <w:ilvl w:val="0"/>
          <w:numId w:val="6"/>
        </w:numPr>
        <w:spacing w:before="156" w:after="156" w:line="288" w:lineRule="auto"/>
        <w:ind w:left="0"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配置IPSec使用静态点对点模式。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esp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传输模式封装协议。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isakmp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策略定义加密算法采用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3des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。散列算法采用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md5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。预共享密码为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ruijie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DH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使用组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。转换集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myset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定义加密验证方式为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esp-3des esp-md5-hmac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，感兴趣流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ACL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编号为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103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，加密图定义为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mymap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color w:val="000000" w:themeColor="text1"/>
          <w:sz w:val="30"/>
          <w:szCs w:val="3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bookmarkStart w:id="30" w:name="_Toc24217"/>
    </w:p>
    <w:p>
      <w:pPr>
        <w:pStyle w:val="2"/>
        <w:spacing w:before="0" w:after="0" w:line="360" w:lineRule="auto"/>
        <w:rPr>
          <w:rFonts w:ascii="宋体" w:hAnsi="宋体" w:eastAsia="宋体" w:cs="宋体"/>
          <w:bCs w:val="0"/>
          <w:color w:val="000000" w:themeColor="text1"/>
        </w:rPr>
      </w:pPr>
      <w:bookmarkStart w:id="31" w:name="_Toc67121099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附录1：拓扑图</w:t>
      </w:r>
      <w:bookmarkEnd w:id="31"/>
    </w:p>
    <w:p>
      <w:pPr>
        <w:pStyle w:val="2"/>
        <w:spacing w:before="0" w:after="0" w:line="360" w:lineRule="auto"/>
        <w:rPr>
          <w:rFonts w:ascii="宋体" w:hAnsi="宋体" w:eastAsia="宋体" w:cs="宋体"/>
          <w:color w:val="000000" w:themeColor="text1"/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titlePg/>
          <w:docGrid w:type="lines" w:linePitch="312" w:charSpace="0"/>
        </w:sectPr>
      </w:pPr>
      <w:r>
        <w:drawing>
          <wp:inline distT="0" distB="0" distL="114300" distR="114300">
            <wp:extent cx="7917815" cy="4711700"/>
            <wp:effectExtent l="0" t="0" r="698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17815" cy="471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0"/>
    <w:p>
      <w:pPr>
        <w:pStyle w:val="2"/>
        <w:spacing w:before="0" w:after="0" w:line="360" w:lineRule="auto"/>
      </w:pPr>
      <w:bookmarkStart w:id="32" w:name="_Toc6887"/>
      <w:bookmarkStart w:id="33" w:name="_Toc67121100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附录2：地址规划表</w:t>
      </w:r>
      <w:bookmarkEnd w:id="32"/>
      <w:bookmarkEnd w:id="33"/>
    </w:p>
    <w:tbl>
      <w:tblPr>
        <w:tblStyle w:val="12"/>
        <w:tblW w:w="8790" w:type="dxa"/>
        <w:tblInd w:w="-34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775"/>
        <w:gridCol w:w="1559"/>
        <w:gridCol w:w="2410"/>
        <w:gridCol w:w="212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设备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接口或VLAN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VLAN名称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二层或三层规划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S1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Gi0/1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10.1.3.1/30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Gi0/2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10.1.1.1/30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Gi0/3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10.1.1.5/30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10.1.2.1/30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Gi0/5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10.1.2.5/30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Gi0/47-48</w:t>
            </w:r>
          </w:p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（AG1）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10.1.254.253/30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OSPF100进程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10.1.0.1/32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S2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Gi0/1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10.1.3.5/30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Gi0/2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10.1.1.9/30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Gi0/3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10.1.1.13/30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10.1.2.9/30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Gi0/5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10.1.2.13/30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Gi0/47-48（AG1）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10.1.254.254/30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OSPF100进程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10.1.0.2/32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S3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10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Production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192.1.10.252/24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生产/有线用户地址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50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APManage_YWQ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192.1.50.252/24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业务区AP管理地址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60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Wireless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192.1.60.252/24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办公/无线用户地址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100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Manage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192.1.100.252/24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设备管理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Gi0/23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10.1.1.2/30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Gi0/24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10.1.1.10/30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10.1.0.3/32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S4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10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Production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192.1.10.253/24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生产/有线用户地址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50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APManage_YWQ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192.1.50.253/24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业务区AP管理地址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60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Wireless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192.1.60.253/24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办公/无线用户地址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100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Manage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192.1.100.253/24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设备管理地址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Gi0/23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10.1.1.6/30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Gi0/24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10.1.1.14/30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10.1.0.4/32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S5-S6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(虚拟化)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10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Production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Gi1/0/6至 Gi1/0/20,</w:t>
            </w:r>
          </w:p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Gi2/0/6至 Gi2/0/20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生产/有线用户地址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50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APManage_YWQ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Gi1/0/1至 Gi1/0/5,</w:t>
            </w:r>
          </w:p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Gi2/0/1至 Gi2/0/5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业务区AP管理地址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100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Manage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192.1.100.1/24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设备管理地址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AC1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100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Manage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192.1.100.2/24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设备管理地址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10.1.0.5/32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AC2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100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Manage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192.1.100.3/24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设备管理地址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10.1.0.6/32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R1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10.1.2.2/30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Gi0/1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10.1.2.10/30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Fa1/0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10.1.2.253/30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Fa1/1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10.1.2.21/30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10.1.0.7/32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R2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10.1.2.6/30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Gi0/1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10.1.2.14/30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Fa1/0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10.1.2.254/30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Fa1/1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10.1.2.25/30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10.1.0.8/32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S7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Gi0/23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10.1.2.22/30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Gi0/24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10.1.2.26/30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410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Production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194.1.10.254/24</w:t>
            </w:r>
          </w:p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G0/11-20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生产/有线用户地址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450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APManage_YWQ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194.1.50.254/24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业务区AP管理地址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VLAN 460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Wireless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194.1.60.254/24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办公/无线用户地址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10.1.0.9/32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EG1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Gi0/1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10.1.3.2/30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Gi0/2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10.1.3.6/30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200.1.1.2/29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Tunnel0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10.1.4.1/30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GRE接口地址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10.1.0.10/32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R3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200.2.1.1/29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Gi0/1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200.1.1.1/29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1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195.1.1.1/32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EG2</w:t>
            </w: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Gi0/1.60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195.1.60.254/24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用户地址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Gi0/1.100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195.1.100.254/24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AP管理地址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Gi0/4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200.2.1.2/29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互联地址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Tunnel0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10.1.4.2/30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GRE接口地址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Loopback 0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\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10.1.0.11/32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  <w:t>——</w:t>
            </w:r>
          </w:p>
        </w:tc>
      </w:tr>
    </w:tbl>
    <w:p>
      <w:pPr>
        <w:spacing w:line="360" w:lineRule="auto"/>
      </w:pPr>
    </w:p>
    <w:p>
      <w:pPr>
        <w:spacing w:after="0" w:line="360" w:lineRule="auto"/>
        <w:ind w:firstLine="440" w:firstLineChars="200"/>
        <w:rPr>
          <w:rFonts w:asciiTheme="minorEastAsia" w:hAnsiTheme="minorEastAsia"/>
          <w:szCs w:val="24"/>
        </w:rPr>
      </w:pPr>
    </w:p>
    <w:p>
      <w:pPr>
        <w:spacing w:after="0"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3273783"/>
    </w:sdtPr>
    <w:sdtEndPr>
      <w:rPr>
        <w:sz w:val="21"/>
      </w:rPr>
    </w:sdtEndPr>
    <w:sdtContent>
      <w:p>
        <w:pPr>
          <w:pStyle w:val="7"/>
          <w:jc w:val="center"/>
          <w:rPr>
            <w:sz w:val="21"/>
          </w:rPr>
        </w:pPr>
        <w:r>
          <w:rPr>
            <w:sz w:val="21"/>
          </w:rPr>
          <w:fldChar w:fldCharType="begin"/>
        </w:r>
        <w:r>
          <w:rPr>
            <w:sz w:val="21"/>
          </w:rPr>
          <w:instrText xml:space="preserve"> PAGE   \* MERGEFORMAT 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3</w:t>
        </w:r>
        <w:r>
          <w:rPr>
            <w:sz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A480C"/>
    <w:multiLevelType w:val="multilevel"/>
    <w:tmpl w:val="070A480C"/>
    <w:lvl w:ilvl="0" w:tentative="0">
      <w:start w:val="3"/>
      <w:numFmt w:val="decimal"/>
      <w:lvlText w:val="%1."/>
      <w:lvlJc w:val="left"/>
      <w:pPr>
        <w:ind w:left="1413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83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225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67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309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51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93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35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773" w:hanging="420"/>
      </w:pPr>
      <w:rPr>
        <w:rFonts w:hint="eastAsia"/>
      </w:rPr>
    </w:lvl>
  </w:abstractNum>
  <w:abstractNum w:abstractNumId="1">
    <w:nsid w:val="21D63AD5"/>
    <w:multiLevelType w:val="multilevel"/>
    <w:tmpl w:val="21D63AD5"/>
    <w:lvl w:ilvl="0" w:tentative="0">
      <w:start w:val="1"/>
      <w:numFmt w:val="decimal"/>
      <w:lvlText w:val="%1."/>
      <w:lvlJc w:val="left"/>
      <w:pPr>
        <w:ind w:left="1413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83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225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67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309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51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93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35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773" w:hanging="420"/>
      </w:pPr>
      <w:rPr>
        <w:rFonts w:hint="eastAsia"/>
      </w:rPr>
    </w:lvl>
  </w:abstractNum>
  <w:abstractNum w:abstractNumId="2">
    <w:nsid w:val="28190ED0"/>
    <w:multiLevelType w:val="multilevel"/>
    <w:tmpl w:val="28190ED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4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27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26"/>
      <w:suff w:val="space"/>
      <w:lvlText w:val="表%1-%6"/>
      <w:lvlJc w:val="center"/>
      <w:pPr>
        <w:ind w:left="2694" w:firstLine="0"/>
      </w:pPr>
      <w:rPr>
        <w:rFonts w:hint="eastAsia"/>
        <w:lang w:val="en-US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7F761F0B"/>
    <w:multiLevelType w:val="multilevel"/>
    <w:tmpl w:val="7F761F0B"/>
    <w:lvl w:ilvl="0" w:tentative="0">
      <w:start w:val="1"/>
      <w:numFmt w:val="bullet"/>
      <w:pStyle w:val="34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7FEA08DC"/>
    <w:multiLevelType w:val="multilevel"/>
    <w:tmpl w:val="7FEA08DC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02F3"/>
    <w:rsid w:val="0000605E"/>
    <w:rsid w:val="00012387"/>
    <w:rsid w:val="00031DA0"/>
    <w:rsid w:val="00042BAC"/>
    <w:rsid w:val="00070B06"/>
    <w:rsid w:val="0007165D"/>
    <w:rsid w:val="00084F0A"/>
    <w:rsid w:val="00094561"/>
    <w:rsid w:val="000A38E6"/>
    <w:rsid w:val="000B0BAA"/>
    <w:rsid w:val="000E717F"/>
    <w:rsid w:val="000F7C13"/>
    <w:rsid w:val="0012283D"/>
    <w:rsid w:val="00142380"/>
    <w:rsid w:val="00154E17"/>
    <w:rsid w:val="001671C0"/>
    <w:rsid w:val="00167F3F"/>
    <w:rsid w:val="00172215"/>
    <w:rsid w:val="0019113C"/>
    <w:rsid w:val="00197921"/>
    <w:rsid w:val="001C679A"/>
    <w:rsid w:val="001D009B"/>
    <w:rsid w:val="001D3DC8"/>
    <w:rsid w:val="001D6557"/>
    <w:rsid w:val="001E40AC"/>
    <w:rsid w:val="001F5966"/>
    <w:rsid w:val="00222D28"/>
    <w:rsid w:val="00224722"/>
    <w:rsid w:val="00236138"/>
    <w:rsid w:val="00237483"/>
    <w:rsid w:val="002647D7"/>
    <w:rsid w:val="00275597"/>
    <w:rsid w:val="002948BC"/>
    <w:rsid w:val="002C36CA"/>
    <w:rsid w:val="002D4F05"/>
    <w:rsid w:val="002D56F2"/>
    <w:rsid w:val="002E1519"/>
    <w:rsid w:val="00305179"/>
    <w:rsid w:val="0030589B"/>
    <w:rsid w:val="00326093"/>
    <w:rsid w:val="00352F83"/>
    <w:rsid w:val="00354A43"/>
    <w:rsid w:val="0036260B"/>
    <w:rsid w:val="0036595B"/>
    <w:rsid w:val="003768B0"/>
    <w:rsid w:val="003873C9"/>
    <w:rsid w:val="003953DA"/>
    <w:rsid w:val="00397F19"/>
    <w:rsid w:val="003A6751"/>
    <w:rsid w:val="003D4894"/>
    <w:rsid w:val="003E33A8"/>
    <w:rsid w:val="004215D8"/>
    <w:rsid w:val="004247E5"/>
    <w:rsid w:val="00434D4E"/>
    <w:rsid w:val="00450CB4"/>
    <w:rsid w:val="004621EF"/>
    <w:rsid w:val="00473E63"/>
    <w:rsid w:val="004835CD"/>
    <w:rsid w:val="004A3155"/>
    <w:rsid w:val="004A7F53"/>
    <w:rsid w:val="004D0C26"/>
    <w:rsid w:val="004D0E02"/>
    <w:rsid w:val="004D4940"/>
    <w:rsid w:val="004D72F4"/>
    <w:rsid w:val="004F10A3"/>
    <w:rsid w:val="00506E41"/>
    <w:rsid w:val="00512704"/>
    <w:rsid w:val="00513C3B"/>
    <w:rsid w:val="00544229"/>
    <w:rsid w:val="00546C69"/>
    <w:rsid w:val="00546D4D"/>
    <w:rsid w:val="00555535"/>
    <w:rsid w:val="005704BD"/>
    <w:rsid w:val="00570D5E"/>
    <w:rsid w:val="0057670F"/>
    <w:rsid w:val="005769E4"/>
    <w:rsid w:val="00584299"/>
    <w:rsid w:val="005862F5"/>
    <w:rsid w:val="00597733"/>
    <w:rsid w:val="005B31B1"/>
    <w:rsid w:val="005F0AA9"/>
    <w:rsid w:val="005F754F"/>
    <w:rsid w:val="006055CC"/>
    <w:rsid w:val="006131F6"/>
    <w:rsid w:val="00615C02"/>
    <w:rsid w:val="00623953"/>
    <w:rsid w:val="00637A8F"/>
    <w:rsid w:val="00641D14"/>
    <w:rsid w:val="00657FEE"/>
    <w:rsid w:val="006D09B9"/>
    <w:rsid w:val="006D4937"/>
    <w:rsid w:val="006D7BED"/>
    <w:rsid w:val="006E7D51"/>
    <w:rsid w:val="0070288B"/>
    <w:rsid w:val="00720C3D"/>
    <w:rsid w:val="007302F3"/>
    <w:rsid w:val="007526D8"/>
    <w:rsid w:val="0079457B"/>
    <w:rsid w:val="007A34BD"/>
    <w:rsid w:val="007A3DA7"/>
    <w:rsid w:val="007A7F7F"/>
    <w:rsid w:val="007B15E8"/>
    <w:rsid w:val="007B6FEA"/>
    <w:rsid w:val="007D0384"/>
    <w:rsid w:val="007D336B"/>
    <w:rsid w:val="007D5A2D"/>
    <w:rsid w:val="007D5F6A"/>
    <w:rsid w:val="007F2C7C"/>
    <w:rsid w:val="007F4177"/>
    <w:rsid w:val="007F4431"/>
    <w:rsid w:val="007F7B9D"/>
    <w:rsid w:val="00800583"/>
    <w:rsid w:val="008125E9"/>
    <w:rsid w:val="0081476C"/>
    <w:rsid w:val="00815DA1"/>
    <w:rsid w:val="008205FC"/>
    <w:rsid w:val="00823CF4"/>
    <w:rsid w:val="00830DD0"/>
    <w:rsid w:val="00857382"/>
    <w:rsid w:val="00865D37"/>
    <w:rsid w:val="00873610"/>
    <w:rsid w:val="008838E0"/>
    <w:rsid w:val="008850A8"/>
    <w:rsid w:val="008866D8"/>
    <w:rsid w:val="008B7C30"/>
    <w:rsid w:val="008D11C4"/>
    <w:rsid w:val="008E1FC3"/>
    <w:rsid w:val="00910F85"/>
    <w:rsid w:val="00922907"/>
    <w:rsid w:val="00936E8D"/>
    <w:rsid w:val="009675B7"/>
    <w:rsid w:val="00984752"/>
    <w:rsid w:val="00992A60"/>
    <w:rsid w:val="009A3066"/>
    <w:rsid w:val="009B28EC"/>
    <w:rsid w:val="009C2063"/>
    <w:rsid w:val="009E1165"/>
    <w:rsid w:val="009E4EAB"/>
    <w:rsid w:val="00A104B4"/>
    <w:rsid w:val="00A126E9"/>
    <w:rsid w:val="00A2286F"/>
    <w:rsid w:val="00A22F8F"/>
    <w:rsid w:val="00A54E30"/>
    <w:rsid w:val="00A564CC"/>
    <w:rsid w:val="00A87DE0"/>
    <w:rsid w:val="00A937D5"/>
    <w:rsid w:val="00AA0714"/>
    <w:rsid w:val="00AA150B"/>
    <w:rsid w:val="00AA2B69"/>
    <w:rsid w:val="00AC44F6"/>
    <w:rsid w:val="00AE0DDF"/>
    <w:rsid w:val="00AE1E72"/>
    <w:rsid w:val="00AF15FC"/>
    <w:rsid w:val="00AF4F59"/>
    <w:rsid w:val="00B1592F"/>
    <w:rsid w:val="00B315B5"/>
    <w:rsid w:val="00B44E25"/>
    <w:rsid w:val="00B90C6F"/>
    <w:rsid w:val="00BB15DA"/>
    <w:rsid w:val="00BD0845"/>
    <w:rsid w:val="00BF2CED"/>
    <w:rsid w:val="00BF6063"/>
    <w:rsid w:val="00C03E80"/>
    <w:rsid w:val="00C1517C"/>
    <w:rsid w:val="00C17709"/>
    <w:rsid w:val="00C27A36"/>
    <w:rsid w:val="00C30C7D"/>
    <w:rsid w:val="00C3292C"/>
    <w:rsid w:val="00C74CA0"/>
    <w:rsid w:val="00C97714"/>
    <w:rsid w:val="00CA5A2A"/>
    <w:rsid w:val="00CC61BA"/>
    <w:rsid w:val="00CD4C15"/>
    <w:rsid w:val="00CE0C3F"/>
    <w:rsid w:val="00CF4FA1"/>
    <w:rsid w:val="00D14ABF"/>
    <w:rsid w:val="00D20109"/>
    <w:rsid w:val="00D42F3E"/>
    <w:rsid w:val="00D46881"/>
    <w:rsid w:val="00D55401"/>
    <w:rsid w:val="00D72732"/>
    <w:rsid w:val="00D77050"/>
    <w:rsid w:val="00D770DF"/>
    <w:rsid w:val="00D953E6"/>
    <w:rsid w:val="00DA5205"/>
    <w:rsid w:val="00DB0C01"/>
    <w:rsid w:val="00DB71B3"/>
    <w:rsid w:val="00DD40A5"/>
    <w:rsid w:val="00DF6088"/>
    <w:rsid w:val="00E107E2"/>
    <w:rsid w:val="00E22530"/>
    <w:rsid w:val="00E35962"/>
    <w:rsid w:val="00E36D39"/>
    <w:rsid w:val="00E707A1"/>
    <w:rsid w:val="00E80440"/>
    <w:rsid w:val="00E83E72"/>
    <w:rsid w:val="00E910B4"/>
    <w:rsid w:val="00E96306"/>
    <w:rsid w:val="00EB39F6"/>
    <w:rsid w:val="00EB3EF6"/>
    <w:rsid w:val="00EC1148"/>
    <w:rsid w:val="00ED4C45"/>
    <w:rsid w:val="00ED599F"/>
    <w:rsid w:val="00ED60FB"/>
    <w:rsid w:val="00EE37BF"/>
    <w:rsid w:val="00EF0E84"/>
    <w:rsid w:val="00EF1477"/>
    <w:rsid w:val="00F2376B"/>
    <w:rsid w:val="00F3379A"/>
    <w:rsid w:val="00F53BEE"/>
    <w:rsid w:val="00F80284"/>
    <w:rsid w:val="00F96163"/>
    <w:rsid w:val="00FA0C34"/>
    <w:rsid w:val="00FB2F44"/>
    <w:rsid w:val="00FE2E16"/>
    <w:rsid w:val="03EA762C"/>
    <w:rsid w:val="055C64CC"/>
    <w:rsid w:val="09A418D9"/>
    <w:rsid w:val="1B817677"/>
    <w:rsid w:val="1D366228"/>
    <w:rsid w:val="2D5A2B64"/>
    <w:rsid w:val="2E8E576E"/>
    <w:rsid w:val="341B427E"/>
    <w:rsid w:val="37580C91"/>
    <w:rsid w:val="3A9B7023"/>
    <w:rsid w:val="44245EF4"/>
    <w:rsid w:val="4EA16CAF"/>
    <w:rsid w:val="556B5872"/>
    <w:rsid w:val="5B3C3B40"/>
    <w:rsid w:val="5C740D36"/>
    <w:rsid w:val="60FD129E"/>
    <w:rsid w:val="6A827FD2"/>
    <w:rsid w:val="6B8B7674"/>
    <w:rsid w:val="6E007280"/>
    <w:rsid w:val="72FE5EA9"/>
    <w:rsid w:val="7BF0375B"/>
    <w:rsid w:val="7CC775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napToGrid w:val="0"/>
      <w:spacing w:before="120" w:after="120" w:line="240" w:lineRule="auto"/>
      <w:textAlignment w:val="baseline"/>
      <w:outlineLvl w:val="3"/>
    </w:pPr>
    <w:rPr>
      <w:rFonts w:ascii="仿宋" w:hAnsi="仿宋" w:eastAsia="黑体" w:cs="仿宋"/>
      <w:color w:val="000000"/>
      <w:kern w:val="2"/>
      <w:sz w:val="30"/>
      <w:szCs w:val="30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9"/>
    <w:qFormat/>
    <w:uiPriority w:val="0"/>
    <w:pPr>
      <w:widowControl w:val="0"/>
      <w:spacing w:after="0" w:line="360" w:lineRule="exact"/>
    </w:pPr>
    <w:rPr>
      <w:rFonts w:ascii="宋体" w:hAnsi="宋体" w:eastAsia="仿宋" w:cs="Times New Roman"/>
      <w:bCs/>
      <w:kern w:val="2"/>
      <w:sz w:val="24"/>
      <w:szCs w:val="20"/>
    </w:rPr>
  </w:style>
  <w:style w:type="paragraph" w:styleId="6">
    <w:name w:val="Balloon Text"/>
    <w:basedOn w:val="1"/>
    <w:link w:val="19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1">
    <w:name w:val="Title"/>
    <w:basedOn w:val="1"/>
    <w:next w:val="1"/>
    <w:link w:val="1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3">
    <w:name w:val="Table Grid"/>
    <w:basedOn w:val="12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18">
    <w:name w:val="标题 Char"/>
    <w:basedOn w:val="14"/>
    <w:link w:val="11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19">
    <w:name w:val="批注框文本 Char"/>
    <w:basedOn w:val="14"/>
    <w:link w:val="6"/>
    <w:semiHidden/>
    <w:qFormat/>
    <w:uiPriority w:val="99"/>
    <w:rPr>
      <w:kern w:val="0"/>
      <w:sz w:val="18"/>
      <w:szCs w:val="18"/>
    </w:rPr>
  </w:style>
  <w:style w:type="paragraph" w:styleId="20">
    <w:name w:val="No Spacing"/>
    <w:link w:val="2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1">
    <w:name w:val="无间隔 Char"/>
    <w:basedOn w:val="14"/>
    <w:link w:val="20"/>
    <w:qFormat/>
    <w:uiPriority w:val="1"/>
    <w:rPr>
      <w:kern w:val="0"/>
      <w:sz w:val="22"/>
    </w:rPr>
  </w:style>
  <w:style w:type="character" w:customStyle="1" w:styleId="22">
    <w:name w:val="标题 1 Char"/>
    <w:basedOn w:val="14"/>
    <w:link w:val="2"/>
    <w:qFormat/>
    <w:uiPriority w:val="9"/>
    <w:rPr>
      <w:b/>
      <w:bCs/>
      <w:kern w:val="44"/>
      <w:sz w:val="44"/>
      <w:szCs w:val="44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character" w:customStyle="1" w:styleId="25">
    <w:name w:val="标题 4 Char"/>
    <w:basedOn w:val="14"/>
    <w:link w:val="4"/>
    <w:qFormat/>
    <w:uiPriority w:val="0"/>
    <w:rPr>
      <w:rFonts w:ascii="仿宋" w:hAnsi="仿宋" w:eastAsia="黑体" w:cs="仿宋"/>
      <w:color w:val="000000"/>
      <w:sz w:val="30"/>
      <w:szCs w:val="30"/>
    </w:rPr>
  </w:style>
  <w:style w:type="paragraph" w:customStyle="1" w:styleId="26">
    <w:name w:val="Table Description"/>
    <w:next w:val="1"/>
    <w:qFormat/>
    <w:uiPriority w:val="0"/>
    <w:pPr>
      <w:keepNext/>
      <w:numPr>
        <w:ilvl w:val="5"/>
        <w:numId w:val="1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27">
    <w:name w:val="Figure Description"/>
    <w:next w:val="1"/>
    <w:qFormat/>
    <w:uiPriority w:val="0"/>
    <w:pPr>
      <w:numPr>
        <w:ilvl w:val="4"/>
        <w:numId w:val="1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28">
    <w:name w:val="首行缩进"/>
    <w:basedOn w:val="1"/>
    <w:link w:val="30"/>
    <w:qFormat/>
    <w:uiPriority w:val="0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29">
    <w:name w:val="正文文本 Char"/>
    <w:basedOn w:val="14"/>
    <w:link w:val="5"/>
    <w:qFormat/>
    <w:uiPriority w:val="0"/>
    <w:rPr>
      <w:rFonts w:ascii="宋体" w:hAnsi="宋体" w:eastAsia="仿宋" w:cs="Times New Roman"/>
      <w:bCs/>
      <w:sz w:val="24"/>
      <w:szCs w:val="20"/>
    </w:rPr>
  </w:style>
  <w:style w:type="character" w:customStyle="1" w:styleId="30">
    <w:name w:val="首行缩进 Char"/>
    <w:basedOn w:val="14"/>
    <w:link w:val="28"/>
    <w:qFormat/>
    <w:uiPriority w:val="0"/>
    <w:rPr>
      <w:rFonts w:ascii="仿宋" w:hAnsi="仿宋" w:eastAsia="仿宋" w:cs="仿宋"/>
      <w:sz w:val="30"/>
      <w:szCs w:val="30"/>
    </w:rPr>
  </w:style>
  <w:style w:type="paragraph" w:customStyle="1" w:styleId="31">
    <w:name w:val="表格样式"/>
    <w:basedOn w:val="1"/>
    <w:link w:val="32"/>
    <w:qFormat/>
    <w:uiPriority w:val="0"/>
    <w:pPr>
      <w:adjustRightInd w:val="0"/>
      <w:snapToGrid w:val="0"/>
      <w:spacing w:after="0" w:line="240" w:lineRule="auto"/>
    </w:pPr>
    <w:rPr>
      <w:rFonts w:ascii="仿宋" w:hAnsi="仿宋" w:eastAsia="仿宋" w:cs="仿宋"/>
      <w:kern w:val="2"/>
      <w:sz w:val="21"/>
      <w:szCs w:val="30"/>
    </w:rPr>
  </w:style>
  <w:style w:type="character" w:customStyle="1" w:styleId="32">
    <w:name w:val="表格样式 Char"/>
    <w:basedOn w:val="14"/>
    <w:link w:val="31"/>
    <w:qFormat/>
    <w:uiPriority w:val="0"/>
    <w:rPr>
      <w:rFonts w:ascii="仿宋" w:hAnsi="仿宋" w:eastAsia="仿宋" w:cs="仿宋"/>
      <w:szCs w:val="30"/>
    </w:rPr>
  </w:style>
  <w:style w:type="character" w:customStyle="1" w:styleId="33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customStyle="1" w:styleId="34">
    <w:name w:val="Item List"/>
    <w:basedOn w:val="28"/>
    <w:next w:val="28"/>
    <w:qFormat/>
    <w:uiPriority w:val="0"/>
    <w:pPr>
      <w:numPr>
        <w:ilvl w:val="0"/>
        <w:numId w:val="2"/>
      </w:numPr>
      <w:ind w:firstLine="0" w:firstLineChars="0"/>
      <w:jc w:val="both"/>
    </w:pPr>
    <w:rPr>
      <w:bCs/>
    </w:rPr>
  </w:style>
  <w:style w:type="paragraph" w:customStyle="1" w:styleId="35">
    <w:name w:val="列出段落1"/>
    <w:basedOn w:val="1"/>
    <w:link w:val="36"/>
    <w:qFormat/>
    <w:uiPriority w:val="0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6">
    <w:name w:val="列出段落 字符"/>
    <w:basedOn w:val="14"/>
    <w:link w:val="35"/>
    <w:qFormat/>
    <w:uiPriority w:val="0"/>
    <w:rPr>
      <w:rFonts w:ascii="仿宋" w:hAnsi="仿宋" w:eastAsia="仿宋" w:cs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F9D988-5CB4-411B-93FF-3B3970145F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1164</Words>
  <Characters>6637</Characters>
  <Lines>55</Lines>
  <Paragraphs>15</Paragraphs>
  <TotalTime>6</TotalTime>
  <ScaleCrop>false</ScaleCrop>
  <LinksUpToDate>false</LinksUpToDate>
  <CharactersWithSpaces>7786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2021-03-16T03:58:00Z</dcterms:created>
  <dcterms:modified xsi:type="dcterms:W3CDTF">2021-03-20T02:21:33Z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